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  <w:bookmarkStart w:id="0" w:name="_GoBack"/>
      <w:bookmarkEnd w:id="0"/>
    </w:p>
    <w:tbl>
      <w:tblPr>
        <w:tblpPr w:leftFromText="181" w:rightFromText="181" w:vertAnchor="text" w:tblpX="2" w:tblpY="2"/>
        <w:tblW w:w="5405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8"/>
        <w:gridCol w:w="874"/>
        <w:gridCol w:w="3986"/>
        <w:gridCol w:w="990"/>
        <w:gridCol w:w="2959"/>
      </w:tblGrid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ПОЯСНИТЕЛЬНАЯ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ЗАПИСКА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</w:tr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8"/>
                <w:szCs w:val="24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8"/>
                <w:szCs w:val="24"/>
              </w:rPr>
              <w:t> 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  <w:t>КОДЫ</w:t>
            </w:r>
          </w:p>
        </w:tc>
      </w:tr>
      <w:tr w:rsidR="00000000">
        <w:trPr>
          <w:trHeight w:val="30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  <w:tc>
          <w:tcPr>
            <w:tcW w:w="1897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u w:val="single"/>
              </w:rPr>
            </w:pPr>
            <w:r>
              <w:rPr>
                <w:rFonts w:ascii="Times New Roman" w:eastAsia="Times New Roman" w:hAnsi="Times New Roman" w:cs="Calibri"/>
                <w:sz w:val="18"/>
                <w:szCs w:val="24"/>
              </w:rPr>
              <w:t>на</w:t>
            </w:r>
            <w:r>
              <w:rPr>
                <w:rFonts w:ascii="Times New Roman" w:eastAsia="Times New Roman" w:hAnsi="Times New Roman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Calibri"/>
                <w:sz w:val="18"/>
                <w:szCs w:val="24"/>
              </w:rPr>
              <w:t xml:space="preserve">  </w:t>
            </w:r>
            <w:r>
              <w:rPr>
                <w:rFonts w:ascii="Times New Roman" w:eastAsia="Times New Roman" w:hAnsi="Times New Roman"/>
                <w:sz w:val="18"/>
                <w:szCs w:val="24"/>
                <w:lang w:val="en-US" w:eastAsia="en-US"/>
              </w:rPr>
              <w:t xml:space="preserve"> 1 ноября 2025</w:t>
            </w:r>
            <w:r>
              <w:rPr>
                <w:rFonts w:ascii="Times New Roman" w:eastAsia="Times New Roman" w:hAnsi="Times New Roman" w:cs="Calibri"/>
                <w:sz w:val="22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24"/>
              </w:rPr>
              <w:t>года</w:t>
            </w: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right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Форма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ОКУД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0503160</w:t>
            </w: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  <w:tc>
          <w:tcPr>
            <w:tcW w:w="416" w:type="pct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1897" w:type="pct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8"/>
                <w:szCs w:val="24"/>
                <w:u w:val="single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</w:tr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right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Дата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</w:rPr>
              <w:t>01.11.2025</w:t>
            </w:r>
          </w:p>
        </w:tc>
      </w:tr>
      <w:tr w:rsidR="00000000">
        <w:trPr>
          <w:trHeight w:val="360"/>
        </w:trPr>
        <w:tc>
          <w:tcPr>
            <w:tcW w:w="1223" w:type="pct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распорядитель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распорядитель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получатель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бюджетных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средств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адм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инистратор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доходов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бюджета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источников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финансирования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дефицита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бюджета</w:t>
            </w: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  <w:t>по</w:t>
            </w:r>
            <w: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  <w:t>ОКПО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 w:cs="Calibri"/>
                <w:sz w:val="22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0"/>
                <w:szCs w:val="24"/>
              </w:rPr>
              <w:t>13539775</w:t>
            </w:r>
          </w:p>
        </w:tc>
      </w:tr>
      <w:tr w:rsidR="00000000">
        <w:trPr>
          <w:trHeight w:val="37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</w:p>
        </w:tc>
      </w:tr>
      <w:tr w:rsidR="00000000">
        <w:trPr>
          <w:trHeight w:val="37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</w:p>
        </w:tc>
      </w:tr>
      <w:tr w:rsidR="00000000">
        <w:trPr>
          <w:trHeight w:val="390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</w:p>
        </w:tc>
      </w:tr>
      <w:tr w:rsidR="00000000">
        <w:trPr>
          <w:trHeight w:val="178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2"/>
                <w:szCs w:val="24"/>
                <w:lang w:val="en-US" w:eastAsia="en-US"/>
              </w:rPr>
              <w:t>управа района Бибирево города Москвы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4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right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Глава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БК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sz w:val="22"/>
                <w:szCs w:val="24"/>
                <w:lang w:val="en-US" w:eastAsia="en-US"/>
              </w:rPr>
              <w:t xml:space="preserve">941 </w:t>
            </w:r>
          </w:p>
        </w:tc>
      </w:tr>
      <w:tr w:rsidR="00000000">
        <w:trPr>
          <w:trHeight w:val="983"/>
        </w:trPr>
        <w:tc>
          <w:tcPr>
            <w:tcW w:w="122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Наименование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бюджета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публично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правового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образования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) </w:t>
            </w: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4"/>
              </w:rPr>
              <w:t>Бюджет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4"/>
              </w:rPr>
              <w:t>города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4"/>
              </w:rPr>
              <w:t>Москвы</w:t>
            </w: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right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ОКТМО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  <w:r>
              <w:rPr>
                <w:rStyle w:val="style461"/>
                <w:rFonts w:eastAsia="Times New Roman"/>
                <w:sz w:val="22"/>
                <w:szCs w:val="24"/>
                <w:lang w:val="en-US" w:eastAsia="en-US"/>
              </w:rPr>
              <w:t>45000000</w:t>
            </w:r>
            <w:r>
              <w:rPr>
                <w:rFonts w:ascii="Times New Roman" w:eastAsia="Times New Roman" w:hAnsi="Times New Roman" w:cs="Calibri"/>
                <w:sz w:val="22"/>
                <w:szCs w:val="24"/>
                <w:lang w:val="en-US" w:eastAsia="en-US"/>
              </w:rPr>
              <w:t xml:space="preserve"> </w:t>
            </w:r>
          </w:p>
        </w:tc>
      </w:tr>
      <w:tr w:rsidR="00000000">
        <w:trPr>
          <w:trHeight w:val="24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</w:p>
        </w:tc>
      </w:tr>
      <w:tr w:rsidR="00000000">
        <w:trPr>
          <w:trHeight w:val="33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Периодичность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: </w:t>
            </w:r>
          </w:p>
        </w:tc>
        <w:tc>
          <w:tcPr>
            <w:tcW w:w="231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  <w:lang w:val="en-US" w:eastAsia="en-US"/>
              </w:rPr>
              <w:t>месячная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right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 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312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Единица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измерения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: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руб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.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right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ОКЕИ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color w:val="000000"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4"/>
              </w:rPr>
              <w:t>383</w:t>
            </w: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 w:cs="Calibri"/>
                <w:sz w:val="20"/>
                <w:szCs w:val="24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F060A1">
            <w:pPr>
              <w:rPr>
                <w:rFonts w:ascii="Times New Roman" w:eastAsia="Times New Roman" w:hAnsi="Times New Roman"/>
                <w:sz w:val="20"/>
                <w:szCs w:val="24"/>
              </w:rPr>
            </w:pP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</w:tr>
      <w:tr w:rsidR="00000000">
        <w:trPr>
          <w:gridAfter w:val="3"/>
          <w:wAfter w:w="3777" w:type="pct"/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</w:tr>
      <w:tr w:rsidR="00000000">
        <w:trPr>
          <w:gridAfter w:val="3"/>
          <w:wAfter w:w="3777" w:type="pct"/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 w:cs="Calibri"/>
                <w:sz w:val="20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F060A1">
            <w:pPr>
              <w:rPr>
                <w:rFonts w:eastAsia="Times New Roman"/>
                <w:sz w:val="20"/>
                <w:szCs w:val="24"/>
              </w:rPr>
            </w:pPr>
          </w:p>
        </w:tc>
      </w:tr>
    </w:tbl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center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 xml:space="preserve"> 1 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>«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>Организационная структура субъекта бюджетной отчетности»</w:t>
      </w:r>
      <w:r>
        <w:rPr>
          <w:rFonts w:ascii="Times New Roman" w:eastAsia="Times New Roman" w:hAnsi="Times New Roman" w:cs="Calibri"/>
          <w:sz w:val="28"/>
          <w:szCs w:val="24"/>
        </w:rPr>
        <w:t xml:space="preserve"> </w:t>
      </w:r>
    </w:p>
    <w:tbl>
      <w:tblPr>
        <w:tblStyle w:val="1"/>
        <w:tblW w:w="1074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7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4"/>
              <w:jc w:val="both"/>
              <w:rPr>
                <w:rFonts w:ascii="Times New Roman" w:eastAsia="Times New Roman" w:hAnsi="Times New Roman"/>
                <w:szCs w:val="24"/>
              </w:rPr>
            </w:pPr>
          </w:p>
          <w:p w:rsidR="00000000" w:rsidRDefault="00F060A1">
            <w:pPr>
              <w:ind w:right="34"/>
              <w:jc w:val="both"/>
              <w:rPr>
                <w:rFonts w:ascii="Times New Roman" w:eastAsia="Times New Roman" w:hAnsi="Times New Roman"/>
                <w:b/>
                <w:szCs w:val="24"/>
              </w:rPr>
            </w:pPr>
          </w:p>
          <w:p w:rsidR="00000000" w:rsidRDefault="00F060A1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 w:cs="Calibri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4"/>
              <w:jc w:val="both"/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</w:tbl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center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</w:rPr>
        <w:lastRenderedPageBreak/>
        <w:t>Раздел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 xml:space="preserve"> 2 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>«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>Результаты деятельности субъекта бюджетной отчетности»</w:t>
      </w:r>
      <w:r>
        <w:rPr>
          <w:rFonts w:ascii="Times New Roman" w:eastAsia="Times New Roman" w:hAnsi="Times New Roman" w:cs="Calibri"/>
          <w:sz w:val="28"/>
          <w:szCs w:val="24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5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jc w:val="both"/>
              <w:rPr>
                <w:rFonts w:ascii="Times New Roman" w:eastAsia="Times New Roman" w:hAnsi="Times New Roman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rPr>
                <w:rFonts w:ascii="Times New Roman" w:eastAsia="Times New Roman" w:hAnsi="Times New Roman" w:cs="Calibri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</w:tbl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center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 xml:space="preserve"> 3 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>«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>Анализ отчета об исполнении бюджета субъектом бюджетной отчетности»</w:t>
      </w:r>
      <w:r>
        <w:rPr>
          <w:rFonts w:ascii="Times New Roman" w:eastAsia="Times New Roman" w:hAnsi="Times New Roman" w:cs="Calibri"/>
          <w:sz w:val="28"/>
          <w:szCs w:val="24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5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jc w:val="both"/>
              <w:rPr>
                <w:rFonts w:ascii="Times New Roman" w:eastAsia="Times New Roman" w:hAnsi="Times New Roman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  <w:t>Сведения, раскрывающие информацию о ходе реализации государственными (муниципальными) бюджетными и автономными учреждениями национальных проектов (программ), комплексного плана модернизации и расширения магистральной инфраструктуры (региональных проектов в</w:t>
            </w:r>
            <w:r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  <w:t xml:space="preserve"> составе национальных проектов) за счет средств субсидии на иные цели и субсидии на цели осуществления капитальных вложений, с указанием причин образования остатков средств целевых субсидий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 w:cs="Calibri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t>Сведения, раскрывающие информацию о ходе реализации государствен</w:t>
            </w: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t>ными (муниципальными) бюджетными и автономными учреждениями национальных проектов (программ), комплексного плана модернизации и расширения магистральной инфраструктуры (региональных проектов в составе национальных проектов) за счет средств субсидии на иные</w:t>
            </w: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t xml:space="preserve"> цели и субсидии на цели осуществления капитальных вложений, с указанием причин образования остатков средств целевых субсидий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  <w:t>Информация, раскрывающая данные о неисполненных принятых бюджетных обязательствах и денежных обязательствах в ходе реализации национальных проектов (программ), комплексного плана модернизации и расширения магистральной инфраструктуры (региональных проектов</w:t>
            </w:r>
            <w:r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  <w:t xml:space="preserve"> в составе национальных проектов)  (на основании ф. 0503128-НП)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 w:cs="Calibri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t>Информация, раскрывающая данные о неисполненных принятых бюджетных обязательствах и денежных обязательствах в ходе реализации национальных проектов (программ), комплексного плана модернизации и расширения магистральной инфраструктуры (региональных проектов</w:t>
            </w: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t xml:space="preserve"> в составе национальных проектов)  (на основании ф. 0503128-НП)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  <w:t>Информация о сумме курсовой разницы, отраженной в ф. 0503127 в разрезе следующих показателей: положительная курсовая разница;  отрицательная курсовая разница; начисленная по доходам или расходам; наименование контрагентов и мероприятий, по которым осуществ</w:t>
            </w:r>
            <w:r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  <w:t>ляются расчеты в иностранной валюте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 w:cs="Calibri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t>Информация о сумме курсовой разницы, отраженной в ф. 0503127 в разрезе следующих показателей: положительная курсовая разница;  отрицательная курсовая разница; начисленная по доходам или расходам; наименование контраген</w:t>
            </w: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t xml:space="preserve">тов и мероприятий, по которым осуществляются расчеты в </w:t>
            </w: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lastRenderedPageBreak/>
              <w:t>иностранной валюте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  <w:t>Иная информация, оказавшая существенное влияние и характеризующая результаты исполнения  бюджета субъектом бюджетной отчетности, не отраженная в таблицах и приложениях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 w:cs="Calibri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  <w:t>Иная информация, оказавшая существенное влияние и характеризующая результаты исполнения  бюджета субъектом бюджетной отчетности, не отраженная в таблицах и приложениях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szCs w:val="24"/>
                <w:lang w:val="en-US" w:eastAsia="en-US"/>
              </w:rPr>
            </w:pPr>
          </w:p>
        </w:tc>
      </w:tr>
    </w:tbl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center"/>
        <w:rPr>
          <w:rFonts w:ascii="Times New Roman" w:eastAsia="Times New Roman" w:hAnsi="Times New Roman" w:cs="Calibri"/>
          <w:sz w:val="28"/>
          <w:szCs w:val="24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 xml:space="preserve"> 4 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>«</w:t>
      </w:r>
      <w:r>
        <w:rPr>
          <w:rFonts w:ascii="Times New Roman" w:eastAsia="Times New Roman" w:hAnsi="Times New Roman"/>
          <w:b/>
          <w:color w:val="000000"/>
          <w:sz w:val="28"/>
          <w:szCs w:val="24"/>
        </w:rPr>
        <w:t>Анализ показателей бухгалтерской отчетности субъекта бюджетной отчетности»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5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Информация о суммах изменений вступительного баланса в отчетном периоде в связи с внедрением федеральных стандартов бухгалтерского учета государственных финансов, отраженных в ф. 0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503173 по коду причины «02»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о суммах изменений вступительного баланса в отчетном периоде в связи с внедрением федеральных стандартов бухгалтерского учета государственных финансов, отраженных в ф. 0503173 по коду причины «02»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Информация об ошибках предшествующих годов, отраженных после утверждения бухгалтерской отчетности в ф. 0503173 по коду причины «03» (за исключением кода "03.5") и коду причины «07»: описание ошибки; сумма корректировки по каждой статье бухгалтерской отчетн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ости за каждый из предшествующих годов, для которых в бухгалтерской отчетности раскрываются сравнительные показатели; общая сумма корректировки на начало самого раннего из предшествующих годов, для которого в бухгалтерской отчетности раскрываются сравнител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ьные показатели; описание причин, по которым корректировка сравнительных показателей бухгалтерской отчетности за один или несколько предшествующих годов не представляется возможным, а также способа отражения исправления ошибки с указанием периода, в которо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м отражены исправления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об ошибках предшествующих годов, отраженных после утверждения бухгалтерской отчетности в ф. 0503173 по коду причины «03» (за исключением кода "03.5") и коду причины «07»: описание ошибки; сумма корректировки по каждой ст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атье бухгалтерской отчетности за каждый из предшествующих годов, для которых в бухгалтерской отчетности раскрываются сравнительные показатели; общая сумма корректировки на начало самого раннего из предшествующих годов, для которого в бухгалтерской отчетнос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ти раскрываются сравнительные показатели; описание причин, по которым корректировка сравнительных показателей бухгалтерской отчетности за один или несколько предшествующих годов не представляется возможным, а также способа отражения исправления ошибки с ук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азанием периода, в котором отражены исправления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lastRenderedPageBreak/>
              <w:t>1. Инф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ормация о суммах корректировок, связанных с ретроспективным применением измененной учетной политики, с указанием обоснования и содержания ее изменения, порядок отражения последствий изменений в отчетности, включая указание на обстоятельства, в связи с кото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 xml:space="preserve">рыми применяется выбранный способ ведения бухгалтерского учета, и дату, с которой он применяется по показателям, отраженным по коду причины «04» в ф. 0503173; 2. Информация о суммах корректировок при ретроспективном применении измененной учетной политики, 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раскрывающая: - суммы корректировок по каждой статье бухгалтерской отчетности за каждый из предшествующих годов, для которых в бухгалтерской отчетности раскрываются сравнительные показатели; - суммы корректировок, относящихся к годам, предшествующим тем, д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ля которых в отчетности субъекта учета раскрываются сравнительные показатели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lastRenderedPageBreak/>
              <w:t>1. Информация о суммах корректиров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ок, связанных с ретроспективным применением измененной учетной политики, с указанием обоснования и содержания ее изменения, порядок отражения последствий изменений в отчетности, включая указание на обстоятельства, в связи с которыми применяется выбранный с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пособ ведения бухгалтерского учета, и дату, с которой он применяется по показателям, отраженным по коду причины «04» в ф. 0503173; 2. Информация о суммах корректировок при ретроспективном применении измененной учетной политики, раскрывающая: - суммы коррек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тировок по каждой статье бухгалтерской отчетности за каждый из предшествующих годов, для которых в бухгалтерской отчетности раскрываются сравнительные показатели; - суммы корректировок, относящихся к годам, предшествующим тем, для которых в отчетности субъ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екта учета раскрываются сравнительные показатели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Информация по показателям, отраженным по коду причины 05 «Пересчеты показателей отчетности» в ф. 0503173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по показателям, отраженным по коду причины 05 «Пересчеты показателей отчетности» в ф. 0503173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Информация о причинах (целях) открытия счетов в кредитных организациях, о причинах образования о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статка денежных средств на счетах, а также обоснование необходимости наличия банковских счетов в случае отсутствия по ним операций в течение 2-х и более лет (на основании ф. 0503178-бюджетная деятельность)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о причинах (целях) открытия счетов в кредитных организациях, о причинах образования остатка денежных средств на счетах, а также обоснование необходимости наличия банковских счетов в случае отсутствия по ним операций в течение 2-х и более лет (на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 xml:space="preserve"> основании ф. 0503178-бюджетная деятельность)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Иная информация, характеризующая показатели бухгалтерской отчетности субъекта бюджетной отчетности, не нашедшая отражения в таблицах и приложениях</w:t>
            </w:r>
          </w:p>
          <w:p w:rsidR="00000000" w:rsidRDefault="00F060A1">
            <w:pPr>
              <w:ind w:right="35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Иная информация, характеризующая показатели бухгалтерской отчетности субъекта бюджетной отчетности, не нашедшая отражения в таблицах и приложениях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</w:tbl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center"/>
        <w:rPr>
          <w:rFonts w:ascii="Times New Roman" w:eastAsia="Times New Roman" w:hAnsi="Times New Roman" w:cs="Calibri"/>
          <w:sz w:val="28"/>
          <w:szCs w:val="24"/>
        </w:rPr>
      </w:pPr>
      <w:r>
        <w:rPr>
          <w:rFonts w:ascii="Times New Roman" w:eastAsia="Times New Roman" w:hAnsi="Times New Roman" w:cs="Calibri"/>
          <w:b/>
          <w:color w:val="000000"/>
          <w:sz w:val="28"/>
          <w:szCs w:val="24"/>
        </w:rPr>
        <w:t>Раздел</w:t>
      </w:r>
      <w:r>
        <w:rPr>
          <w:rFonts w:ascii="Times New Roman" w:eastAsia="Times New Roman" w:hAnsi="Times New Roman" w:cs="Calibri"/>
          <w:b/>
          <w:color w:val="000000"/>
          <w:sz w:val="28"/>
          <w:szCs w:val="24"/>
        </w:rPr>
        <w:t xml:space="preserve"> 5 </w:t>
      </w:r>
      <w:r>
        <w:rPr>
          <w:rFonts w:ascii="Times New Roman" w:eastAsia="Times New Roman" w:hAnsi="Times New Roman" w:cs="Calibri"/>
          <w:b/>
          <w:color w:val="000000"/>
          <w:sz w:val="28"/>
          <w:szCs w:val="24"/>
        </w:rPr>
        <w:t>«</w:t>
      </w:r>
      <w:r>
        <w:rPr>
          <w:rFonts w:ascii="Times New Roman" w:eastAsia="Times New Roman" w:hAnsi="Times New Roman" w:cs="Calibri"/>
          <w:b/>
          <w:color w:val="000000"/>
          <w:sz w:val="28"/>
          <w:szCs w:val="24"/>
        </w:rPr>
        <w:t>Прочие вопросы деятельности субъекта бюджетной отчетности»</w:t>
      </w:r>
      <w:r>
        <w:rPr>
          <w:rFonts w:ascii="Times New Roman" w:eastAsia="Times New Roman" w:hAnsi="Times New Roman"/>
          <w:sz w:val="28"/>
          <w:szCs w:val="24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74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Информация о событиях, произошедших в период между отчетной датой и датой утверждения бухгалтерской отчетности по долговым обязательствам, классифицированным как краткосрочные: рефинансирование на долгосрочный период; устранение нарушения соглашения о долг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осрочном финансировании; получение от кредитора отсрочки исполнения обязательств на период, оканчивающийся не ранее чем через 12 месяцев после отчетной даты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о событиях, произошедших в период между отчетной датой и датой утверждения бухгалтерск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ой отчетности по долговым обязательствам, классифицированным как краткосрочные: рефинансирование на долгосрочный период; устранение нарушения соглашения о долгосрочном финансировании; получение от кредитора отсрочки исполнения обязательств на период, оканч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ивающийся не ранее чем через 12 месяцев после отчетной даты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Информация о просроче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нной кредиторской задолженности, отраженная в аналитической таблице к ф. 0503387 «Справочная таблица к отчету об исполнении консолидированного бюджета субъекта Российской Федерации»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о просроченной кредиторской задолженности, отраженная в аналитической таблице к ф. 0503387 «Справочная таблица к отчету об исполнении консолидированного бюджета субъекта Российской Федерации»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Иная информация, отраженная в ф. 0503387 «Справоч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ная таблица к отчету об исполнении консолидированного бюджета субъекта Российской Федерации» и требующая пояснения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Иная информация, отраженная в ф. 0503387 «Справочная таблица к отче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ту об исполнении консолидированного бюджета субъекта Российской Федерации» и требующая пояснения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 xml:space="preserve">Информация о полученных межбюджетных трансфертах находящихся на отчетную дату на счете Управления Федерального казначейства № 03100 «Средства поступлений, 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являющихся источниками формирования доходов бюджетов бюджетной системы Российской Федерации» (на основании ф. 0503184)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о полученных межбюджетных трансфертах находящихся на отчетную дату на счете Управления Федерального казначейства № 03100 «Ср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едства поступлений, являющихся источниками формирования доходов бюджетов бюджетной системы Российской Федерации» (на основании ф. 0503184)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Иная информация о межбюджетных трансфертах за отчетный период, не нашедшая отражения в формах отчетов, таблицах и приложениях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 xml:space="preserve">Иная информация о межбюджетных трансфертах за отчетный период, не нашедшая отражения в 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lastRenderedPageBreak/>
              <w:t>формах отчетов, таблицах и приложениях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Информация о вносимых изменениях в показатели ранее представленной бухгалтерской отчётности по решению уполномоченного органа в период после отчетной даты и до даты утверждения отчетности на основании выявленных ошибок и существенных событий после отчетн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ой даты (с указанием причин внесения исправлений и их содержания) по ошибкам отчетного периода, выявленным в ходе камеральной проверки отчетности, а также в ходе осуществления внутреннего (внешнего) финансового контроля (аудита)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о вносимых изменениях в показатели ранее представленной бухгалтерской отчётности по решению уполномоченного органа в период после отчетной даты и до даты утверждения отчетности на основании выявленных ошибок и существенных событий после отчетной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 xml:space="preserve"> даты (с указанием причин внесения исправлений и их содержания) по ошибкам отчетного периода, выявленным в ходе камеральной проверки отчетности, а также в ходе осуществления внутреннего (внешнего) финансового контроля (аудита)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Информация об ошибке бухг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алтерской отчетности, допущенной в текущем финансовом году (ошибка отчетного года) и выявленной после даты принятия (утверждения) квартальной бухгалтерской отчетности (информация о существенности ошибки, описание ошибки (содержания и суммы), а также суммов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ых значений выполненных корректировок бухгалтерской отчетности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Информация об ошибке бухгалтерской отчетности, допущенной в текущем финансовом году (ошибка отчетного года) и выявленной после даты принятия (утверждения) квартальной бухгалтерской отчетности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 xml:space="preserve"> (информация о существенности ошибки, описание ошибки (содержания и суммы), а также суммовых значений выполненных корректировок бухгалтерской отчетности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Перечень форм отчетности, не включенных в состав бюджетной отчетности за отчетный период ввиду отсутствия числовых значений показателей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Перечень форм отчетности, не включенных в состав бюджетной отчетности за о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тчетный период ввиду отсутствия числовых значений показателей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</w:p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 w:cs="Calibri"/>
                <w:b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Иная финансовая и нефинансовая информация, оказавшая существенное влияние на результаты деятельности субъекта бюджетной отчетности и необходимая для понимания пользователями бухгалтерской от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четности финансового положения, финансовых результатов деятельности и движения денежных средств субъекта отчетности за отчетный период, а также иная информация, характеризующая показатели бухгалтерской отчетности, не нашедшая отражения в таблицах и приложе</w:t>
            </w:r>
            <w:r>
              <w:rPr>
                <w:rFonts w:ascii="Times New Roman" w:eastAsia="Times New Roman" w:hAnsi="Times New Roman"/>
                <w:b/>
                <w:szCs w:val="24"/>
                <w:lang w:val="en-US" w:eastAsia="en-US"/>
              </w:rPr>
              <w:t>ниях, включаемых в раздел</w:t>
            </w:r>
          </w:p>
          <w:p w:rsidR="00000000" w:rsidRDefault="00F060A1">
            <w:pPr>
              <w:ind w:right="-142"/>
              <w:rPr>
                <w:rFonts w:ascii="Times New Roman" w:eastAsia="Times New Roman" w:hAnsi="Times New Roman"/>
                <w:b/>
                <w:color w:val="000000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>Иная финансовая и нефинансовая информация, оказавшая существенное влияние на результаты деятельности субъекта бюджетной отчетности и необходимая для понимания пользователями бухгалтерской отчетности финансового положения, ф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t xml:space="preserve">инансовых результатов деятельности и движения денежных средств субъекта отчетности за отчетный период, а также иная информация, </w:t>
            </w:r>
            <w:r>
              <w:rPr>
                <w:rFonts w:ascii="Times New Roman" w:eastAsia="Times New Roman" w:hAnsi="Times New Roman" w:cs="Calibri"/>
                <w:color w:val="000000"/>
                <w:szCs w:val="24"/>
                <w:lang w:val="en-US" w:eastAsia="en-US"/>
              </w:rPr>
              <w:lastRenderedPageBreak/>
              <w:t>характеризующая показатели бухгалтерской отчетности, не нашедшая отражения в таблицах и приложениях, включаемых в раздел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F060A1">
            <w:pPr>
              <w:ind w:right="-142"/>
              <w:jc w:val="both"/>
              <w:rPr>
                <w:rFonts w:ascii="Times New Roman" w:eastAsia="Times New Roman" w:hAnsi="Times New Roman" w:cs="Calibri"/>
                <w:color w:val="000000"/>
                <w:sz w:val="28"/>
                <w:szCs w:val="24"/>
                <w:lang w:val="en-US" w:eastAsia="en-US"/>
              </w:rPr>
            </w:pPr>
          </w:p>
        </w:tc>
      </w:tr>
    </w:tbl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  <w:sectPr w:rsidR="00000000">
          <w:pgSz w:w="12240" w:h="15840"/>
          <w:pgMar w:top="1134" w:right="1701" w:bottom="1134" w:left="819" w:header="720" w:footer="720" w:gutter="0"/>
          <w:cols w:space="720"/>
          <w:noEndnote/>
        </w:sect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center"/>
        <w:rPr>
          <w:rFonts w:ascii="Times New Roman" w:eastAsia="Times New Roman" w:hAnsi="Times New Roman"/>
          <w:b/>
          <w:color w:val="000000"/>
          <w:szCs w:val="24"/>
        </w:rPr>
      </w:pPr>
      <w:r>
        <w:rPr>
          <w:rFonts w:ascii="Times New Roman" w:eastAsia="Times New Roman" w:hAnsi="Times New Roman" w:cs="Calibri"/>
          <w:b/>
          <w:color w:val="000000"/>
          <w:szCs w:val="24"/>
        </w:rPr>
        <w:t>Информация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о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причинах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показателей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представленных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форм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отчетности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по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внутридокументным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контрольным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соотношениям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установленным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автоматизированной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информационной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системе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Департамента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финансов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города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Москвы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(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части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допустимых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отк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лонений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требующих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пояснений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)</w:t>
      </w:r>
    </w:p>
    <w:p w:rsidR="00000000" w:rsidRDefault="00F060A1">
      <w:pPr>
        <w:jc w:val="center"/>
        <w:rPr>
          <w:rFonts w:eastAsia="Times New Roman" w:cs="Calibri"/>
          <w:sz w:val="22"/>
          <w:szCs w:val="24"/>
        </w:rPr>
      </w:pPr>
    </w:p>
    <w:tbl>
      <w:tblPr>
        <w:tblW w:w="15120" w:type="dxa"/>
        <w:tblInd w:w="-14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648"/>
        <w:gridCol w:w="776"/>
        <w:gridCol w:w="1031"/>
        <w:gridCol w:w="1414"/>
        <w:gridCol w:w="1414"/>
        <w:gridCol w:w="1670"/>
        <w:gridCol w:w="1542"/>
        <w:gridCol w:w="1542"/>
        <w:gridCol w:w="4288"/>
      </w:tblGrid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Номер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КС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Описание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Комментарий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Форма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Атрибут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Значение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слева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Значение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справа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Отклонение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Пояснение</w:t>
            </w:r>
          </w:p>
        </w:tc>
      </w:tr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9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10</w:t>
            </w:r>
          </w:p>
        </w:tc>
      </w:tr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 w:cs="Calibri"/>
                <w:sz w:val="16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sz w:val="16"/>
                <w:szCs w:val="24"/>
                <w:lang w:val="en-US"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 w:cs="Calibri"/>
                <w:sz w:val="16"/>
                <w:szCs w:val="24"/>
                <w:lang w:val="en-US" w:eastAsia="en-US"/>
              </w:rPr>
              <w:t xml:space="preserve"> </w:t>
            </w:r>
          </w:p>
        </w:tc>
      </w:tr>
    </w:tbl>
    <w:p w:rsidR="00000000" w:rsidRDefault="00F060A1">
      <w:pPr>
        <w:jc w:val="center"/>
        <w:rPr>
          <w:rFonts w:ascii="Times New Roman CYR" w:eastAsia="Times New Roman" w:hAnsi="Times New Roman CYR" w:cs="Calibri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" w:eastAsia="Times New Roman" w:hAnsi="Times New Roman"/>
          <w:sz w:val="28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" w:eastAsia="Times New Roman" w:hAnsi="Times New Roman" w:cs="Calibri"/>
          <w:sz w:val="28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" w:eastAsia="Times New Roman" w:hAnsi="Times New Roman"/>
          <w:sz w:val="28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center"/>
        <w:rPr>
          <w:rFonts w:ascii="Times New Roman" w:eastAsia="Times New Roman" w:hAnsi="Times New Roman"/>
          <w:b/>
          <w:color w:val="000000"/>
          <w:szCs w:val="24"/>
        </w:rPr>
      </w:pPr>
      <w:r>
        <w:rPr>
          <w:rFonts w:ascii="Times New Roman" w:eastAsia="Times New Roman" w:hAnsi="Times New Roman" w:cs="Calibri"/>
          <w:b/>
          <w:color w:val="000000"/>
          <w:szCs w:val="24"/>
        </w:rPr>
        <w:t>Информация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о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причинах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показателей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представ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ленных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форм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отчетности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по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междокументным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контрольным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соотношениям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установленным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автоматизированной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информационной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системе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Департамента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финансов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города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Москвы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(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части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допустимых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требующих</w:t>
      </w:r>
      <w:r>
        <w:rPr>
          <w:rFonts w:ascii="Times New Roman" w:eastAsia="Times New Roman" w:hAnsi="Times New Roman" w:cs="Calibri"/>
          <w:b/>
          <w:color w:val="000000"/>
          <w:szCs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пояснений</w:t>
      </w:r>
      <w:r>
        <w:rPr>
          <w:rFonts w:ascii="Times New Roman" w:eastAsia="Times New Roman" w:hAnsi="Times New Roman" w:cs="Calibri"/>
          <w:b/>
          <w:color w:val="000000"/>
          <w:szCs w:val="24"/>
        </w:rPr>
        <w:t>)</w:t>
      </w:r>
    </w:p>
    <w:p w:rsidR="00000000" w:rsidRDefault="00F060A1">
      <w:pPr>
        <w:jc w:val="center"/>
        <w:rPr>
          <w:rFonts w:ascii="Times New Roman" w:eastAsia="Times New Roman" w:hAnsi="Times New Roman" w:cs="Calibri"/>
          <w:b/>
          <w:color w:val="000000"/>
          <w:szCs w:val="24"/>
        </w:rPr>
      </w:pPr>
    </w:p>
    <w:tbl>
      <w:tblPr>
        <w:tblW w:w="15120" w:type="dxa"/>
        <w:tblInd w:w="-14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797"/>
        <w:gridCol w:w="915"/>
        <w:gridCol w:w="675"/>
        <w:gridCol w:w="690"/>
        <w:gridCol w:w="2385"/>
        <w:gridCol w:w="720"/>
        <w:gridCol w:w="630"/>
        <w:gridCol w:w="690"/>
        <w:gridCol w:w="2565"/>
        <w:gridCol w:w="780"/>
        <w:gridCol w:w="765"/>
        <w:gridCol w:w="2976"/>
      </w:tblGrid>
      <w:tr w:rsidR="00000000">
        <w:trPr>
          <w:trHeight w:val="5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Номер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КС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Описание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КС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Комментарий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КС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Форма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слева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Атрибут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Значение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Форма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справа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Атрибут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)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Значение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Отклонение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Пояснение</w:t>
            </w:r>
          </w:p>
        </w:tc>
      </w:tr>
      <w:tr w:rsidR="00000000">
        <w:trPr>
          <w:trHeight w:val="2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1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2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3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5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7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9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10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11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12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  <w:t>13</w:t>
            </w:r>
          </w:p>
        </w:tc>
      </w:tr>
      <w:tr w:rsidR="00000000">
        <w:trPr>
          <w:trHeight w:val="5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sz w:val="10"/>
                <w:szCs w:val="24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sz w:val="10"/>
                <w:szCs w:val="24"/>
                <w:lang w:val="en-US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F060A1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="Times New Roman" w:hAnsi="Times New Roman" w:cs="Calibri"/>
                <w:sz w:val="16"/>
                <w:szCs w:val="24"/>
                <w:lang w:val="en-US" w:eastAsia="en-US"/>
              </w:rPr>
              <w:t xml:space="preserve"> </w:t>
            </w:r>
          </w:p>
        </w:tc>
      </w:tr>
    </w:tbl>
    <w:p w:rsidR="00000000" w:rsidRDefault="00F060A1">
      <w:pPr>
        <w:jc w:val="center"/>
        <w:rPr>
          <w:rFonts w:eastAsia="Times New Roman" w:cs="Calibri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" w:eastAsia="Times New Roman" w:hAnsi="Times New Roman"/>
          <w:sz w:val="28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" w:eastAsia="Times New Roman" w:hAnsi="Times New Roman"/>
          <w:sz w:val="28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</w:p>
    <w:p w:rsidR="00000000" w:rsidRDefault="00F060A1">
      <w:pPr>
        <w:jc w:val="both"/>
        <w:rPr>
          <w:rFonts w:ascii="Times New Roman CYR" w:eastAsia="Times New Roman" w:hAnsi="Times New Roman CYR" w:cs="Calibri"/>
          <w:color w:val="004DBB"/>
          <w:sz w:val="22"/>
          <w:szCs w:val="24"/>
          <w:lang w:val="en-US" w:eastAsia="en-US"/>
        </w:rPr>
      </w:pPr>
    </w:p>
    <w:tbl>
      <w:tblPr>
        <w:tblW w:w="11532" w:type="dxa"/>
        <w:tblInd w:w="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4"/>
        <w:gridCol w:w="5445"/>
        <w:gridCol w:w="4303"/>
      </w:tblGrid>
      <w:tr w:rsidR="00000000"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lastRenderedPageBreak/>
              <w:t>Руководитель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Verdana" w:eastAsia="Times New Roman" w:hAnsi="Verdana" w:cs="Calibri"/>
                <w:sz w:val="20"/>
                <w:szCs w:val="24"/>
                <w:lang w:val="en-US" w:eastAsia="en-US"/>
              </w:rPr>
            </w:pPr>
            <w:r>
              <w:rPr>
                <w:rFonts w:ascii="Verdana" w:eastAsia="Times New Roman" w:hAnsi="Verdana" w:cs="Verdana"/>
                <w:noProof/>
                <w:sz w:val="20"/>
                <w:szCs w:val="24"/>
              </w:rPr>
              <w:drawing>
                <wp:inline distT="0" distB="0" distL="0" distR="0">
                  <wp:extent cx="2667000" cy="7905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Волошин Артем Альбертович</w:t>
            </w:r>
          </w:p>
        </w:tc>
      </w:tr>
      <w:tr w:rsidR="00000000">
        <w:trPr>
          <w:trHeight w:val="280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F060A1">
            <w:pPr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Cs w:val="24"/>
              </w:rPr>
              <w:t>подпись</w:t>
            </w:r>
            <w:r>
              <w:rPr>
                <w:rFonts w:ascii="Times New Roman" w:eastAsia="Times New Roman" w:hAnsi="Times New Roman"/>
                <w:szCs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Cs w:val="24"/>
              </w:rPr>
              <w:t>расшифровка</w:t>
            </w:r>
            <w:r>
              <w:rPr>
                <w:rFonts w:ascii="Times New Roman" w:eastAsia="Times New Roman" w:hAnsi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Cs w:val="24"/>
              </w:rPr>
              <w:t>подписи</w:t>
            </w:r>
            <w:r>
              <w:rPr>
                <w:rFonts w:ascii="Times New Roman" w:eastAsia="Times New Roman" w:hAnsi="Times New Roman"/>
                <w:szCs w:val="24"/>
              </w:rPr>
              <w:t>)</w:t>
            </w:r>
          </w:p>
        </w:tc>
      </w:tr>
      <w:tr w:rsidR="00000000">
        <w:trPr>
          <w:trHeight w:val="281"/>
        </w:trPr>
        <w:tc>
          <w:tcPr>
            <w:tcW w:w="1153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F060A1">
            <w:pPr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 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Руководитель</w:t>
            </w:r>
            <w:r>
              <w:rPr>
                <w:rFonts w:ascii="Times New Roman" w:eastAsia="Times New Roman" w:hAnsi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Cs w:val="24"/>
              </w:rPr>
              <w:t>планово</w:t>
            </w:r>
            <w:r>
              <w:rPr>
                <w:rFonts w:ascii="Times New Roman" w:eastAsia="Times New Roman" w:hAnsi="Times New Roman"/>
                <w:szCs w:val="24"/>
              </w:rPr>
              <w:t>-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  <w:r>
              <w:rPr>
                <w:rFonts w:ascii="Verdana" w:eastAsia="Times New Roman" w:hAnsi="Verdana" w:cs="Verdana"/>
                <w:sz w:val="20"/>
                <w:szCs w:val="24"/>
                <w:lang w:val="en-US" w:eastAsia="en-US"/>
              </w:rPr>
              <w:t xml:space="preserve"> </w:t>
            </w:r>
            <w:r>
              <w:rPr>
                <w:rFonts w:ascii="Verdana" w:eastAsia="Times New Roman" w:hAnsi="Verdana" w:cs="Verdana"/>
                <w:noProof/>
                <w:sz w:val="20"/>
                <w:szCs w:val="24"/>
              </w:rPr>
              <w:drawing>
                <wp:inline distT="0" distB="0" distL="0" distR="0">
                  <wp:extent cx="2628900" cy="7905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Лазарева Татьяна Николаевна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экономической</w:t>
            </w:r>
            <w:r>
              <w:rPr>
                <w:rFonts w:ascii="Times New Roman" w:eastAsia="Times New Roman" w:hAnsi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Cs w:val="24"/>
              </w:rPr>
              <w:t>службы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Cs w:val="24"/>
              </w:rPr>
              <w:t>подпись</w:t>
            </w:r>
            <w:r>
              <w:rPr>
                <w:rFonts w:ascii="Times New Roman" w:eastAsia="Times New Roman" w:hAnsi="Times New Roman"/>
                <w:szCs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Cs w:val="24"/>
              </w:rPr>
              <w:t>расшифровка</w:t>
            </w:r>
            <w:r>
              <w:rPr>
                <w:rFonts w:ascii="Times New Roman" w:eastAsia="Times New Roman" w:hAnsi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Cs w:val="24"/>
              </w:rPr>
              <w:t>подписи</w:t>
            </w:r>
            <w:r>
              <w:rPr>
                <w:rFonts w:ascii="Times New Roman" w:eastAsia="Times New Roman" w:hAnsi="Times New Roman"/>
                <w:szCs w:val="24"/>
              </w:rPr>
              <w:t>)</w:t>
            </w:r>
          </w:p>
        </w:tc>
      </w:tr>
      <w:tr w:rsidR="00000000">
        <w:trPr>
          <w:trHeight w:val="281"/>
        </w:trPr>
        <w:tc>
          <w:tcPr>
            <w:tcW w:w="1153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F060A1">
            <w:pPr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 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Главный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  <w:lang w:val="en-US" w:eastAsia="en-US"/>
              </w:rPr>
            </w:pPr>
            <w:r>
              <w:rPr>
                <w:rFonts w:ascii="Verdana" w:eastAsia="Times New Roman" w:hAnsi="Verdana" w:cs="Verdana"/>
                <w:noProof/>
                <w:sz w:val="20"/>
                <w:szCs w:val="24"/>
              </w:rPr>
              <w:drawing>
                <wp:inline distT="0" distB="0" distL="0" distR="0">
                  <wp:extent cx="2628900" cy="7905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Лазарева Татьяна Николаевна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бухгалтер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Cs w:val="24"/>
              </w:rPr>
              <w:t>подпись</w:t>
            </w:r>
            <w:r>
              <w:rPr>
                <w:rFonts w:ascii="Times New Roman" w:eastAsia="Times New Roman" w:hAnsi="Times New Roman"/>
                <w:szCs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F060A1">
            <w:pPr>
              <w:jc w:val="center"/>
              <w:rPr>
                <w:rFonts w:ascii="Times New Roman" w:eastAsia="Times New Roman" w:hAnsi="Times New Roman" w:cs="Calibri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Cs w:val="24"/>
              </w:rPr>
              <w:t>расшифровка</w:t>
            </w:r>
            <w:r>
              <w:rPr>
                <w:rFonts w:ascii="Times New Roman" w:eastAsia="Times New Roman" w:hAnsi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Cs w:val="24"/>
              </w:rPr>
              <w:t>подписи</w:t>
            </w:r>
            <w:r>
              <w:rPr>
                <w:rFonts w:ascii="Times New Roman" w:eastAsia="Times New Roman" w:hAnsi="Times New Roman"/>
                <w:szCs w:val="24"/>
              </w:rPr>
              <w:t>)</w:t>
            </w:r>
          </w:p>
        </w:tc>
      </w:tr>
    </w:tbl>
    <w:p w:rsidR="00000000" w:rsidRDefault="00F060A1">
      <w:pPr>
        <w:rPr>
          <w:rFonts w:eastAsia="Times New Roman"/>
          <w:sz w:val="22"/>
          <w:szCs w:val="24"/>
        </w:rPr>
      </w:pPr>
    </w:p>
    <w:p w:rsidR="00000000" w:rsidRDefault="00F060A1">
      <w:pPr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 w:cs="Calibri"/>
          <w:color w:val="2F343D"/>
          <w:szCs w:val="24"/>
          <w:shd w:val="clear" w:color="auto" w:fill="FFFFFF"/>
        </w:rPr>
        <w:t>"07" ноября 2025 г.</w:t>
      </w:r>
      <w:bookmarkStart w:id="1" w:name="_dx_frag_EndFragment"/>
      <w:bookmarkEnd w:id="1"/>
    </w:p>
    <w:p w:rsidR="00000000" w:rsidRDefault="00F060A1">
      <w:pPr>
        <w:jc w:val="both"/>
        <w:rPr>
          <w:rFonts w:ascii="Times New Roman CYR" w:eastAsia="Times New Roman" w:hAnsi="Times New Roman CYR" w:cs="Times New Roman CYR"/>
          <w:color w:val="004DBB"/>
          <w:sz w:val="22"/>
          <w:szCs w:val="24"/>
          <w:lang w:val="en-US" w:eastAsia="en-US"/>
        </w:rPr>
      </w:pPr>
      <w:bookmarkStart w:id="2" w:name="_dx_frag_StartFragment"/>
      <w:bookmarkEnd w:id="2"/>
    </w:p>
    <w:p w:rsidR="00F060A1" w:rsidRDefault="00F060A1">
      <w:pPr>
        <w:jc w:val="both"/>
        <w:rPr>
          <w:rFonts w:ascii="Times New Roman" w:eastAsia="Times New Roman" w:hAnsi="Times New Roman" w:cs="Calibri"/>
          <w:sz w:val="28"/>
          <w:szCs w:val="24"/>
          <w:lang w:val="en-US" w:eastAsia="en-US"/>
        </w:rPr>
      </w:pPr>
    </w:p>
    <w:sectPr w:rsidR="00F060A1">
      <w:pgSz w:w="15840" w:h="12240" w:orient="landscape"/>
      <w:pgMar w:top="1134" w:right="819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55A"/>
    <w:rsid w:val="00EC255A"/>
    <w:rsid w:val="00F0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Pr>
      <w:rFonts w:ascii="Times New Roman" w:eastAsiaTheme="minorEastAsia" w:hAnsi="Times New Roman" w:cs="Times New Roman"/>
      <w:szCs w:val="22"/>
    </w:rPr>
  </w:style>
  <w:style w:type="character" w:styleId="a4">
    <w:name w:val="Hyperlink"/>
    <w:basedOn w:val="a0"/>
    <w:uiPriority w:val="99"/>
    <w:rPr>
      <w:rFonts w:ascii="Times New Roman" w:eastAsiaTheme="minorEastAsia" w:hAnsi="Times New Roman" w:cs="Times New Roman"/>
      <w:color w:val="0000FF"/>
      <w:szCs w:val="22"/>
      <w:u w:val="single"/>
    </w:rPr>
  </w:style>
  <w:style w:type="character" w:customStyle="1" w:styleId="style461">
    <w:name w:val="style461"/>
    <w:basedOn w:val="a0"/>
    <w:uiPriority w:val="99"/>
    <w:rPr>
      <w:rFonts w:ascii="Times New Roman" w:eastAsiaTheme="minorEastAsia" w:hAnsi="Times New Roman" w:cs="Times New Roman"/>
      <w:szCs w:val="15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EAADF"/>
      </a:accent1>
      <a:accent2>
        <a:srgbClr val="EA726F"/>
      </a:accent2>
      <a:accent3>
        <a:srgbClr val="A9D774"/>
      </a:accent3>
      <a:accent4>
        <a:srgbClr val="A78BC9"/>
      </a:accent4>
      <a:accent5>
        <a:srgbClr val="78CBE1"/>
      </a:accent5>
      <a:accent6>
        <a:srgbClr val="FCBF8C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160октябрь 2025.dotx</Template>
  <TotalTime>1</TotalTime>
  <Pages>9</Pages>
  <Words>2217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 Петр Александрович</dc:creator>
  <cp:keywords/>
  <dc:description/>
  <cp:lastModifiedBy>Лазарева Татьяна Николаевна</cp:lastModifiedBy>
  <cp:revision>2</cp:revision>
  <dcterms:created xsi:type="dcterms:W3CDTF">2026-01-30T12:29:00Z</dcterms:created>
  <dcterms:modified xsi:type="dcterms:W3CDTF">2026-01-30T12:29:00Z</dcterms:modified>
</cp:coreProperties>
</file>